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Acceptance of gifts, bequests, grants, aid</w:t>
      </w:r>
    </w:p>
    <w:p>
      <w:pPr>
        <w:jc w:val="both"/>
        <w:spacing w:before="100" w:after="100"/>
        <w:ind w:start="360"/>
        <w:ind w:firstLine="360"/>
      </w:pPr>
      <w:r>
        <w:rPr/>
      </w:r>
      <w:r>
        <w:rPr/>
      </w:r>
      <w:r>
        <w:t xml:space="preserve">The center may accept gifts, bequests and endowments for purposes consistent with the objectives of this chapter and may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§476. Acceptance of gifts, bequests, grants,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Acceptance of gifts, bequests, grants, aid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§476. ACCEPTANCE OF GIFTS, BEQUESTS, GRANTS,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