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Oath of office; before whom taken</w:t>
      </w:r>
    </w:p>
    <w:p>
      <w:pPr>
        <w:jc w:val="both"/>
        <w:spacing w:before="100" w:after="100"/>
        <w:ind w:start="360"/>
        <w:ind w:firstLine="360"/>
      </w:pPr>
      <w:r>
        <w:rPr/>
      </w:r>
      <w:r>
        <w:rPr/>
      </w:r>
      <w:r>
        <w:t xml:space="preserve">The Justices of the Supreme Judicial Court and of the Superior Court, the Judges of the District Court and all state officials elected by the Legislature shall take and subscribe the oath or affirmation required by the Constitution, before the Governor.  Every other person elected or appointed to any civil office shall take and subscribe the oath before any dedimus justice commissioned by the Governor for that purpose, except when the Constitution otherwise provides.  A newly appointed notary public shall take and subscribe the oath or affirmation before a dedimus justice as required by </w:t>
      </w:r>
      <w:r>
        <w:t>Title 4, section 1922,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§5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§27 (RPR). PL 1987, c. 736, §4 (AMD). PL 2001, c. 667, §C1 (AMD). PL 2009, c. 74, §2 (AMD). PL 2021, c. 651, Pt. A, §5 (AMD).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 Oath of office; before whom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Oath of office; before whom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 OATH OF OFFICE; BEFORE WHOM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