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7030-C</w:t>
        <w:t xml:space="preserve">.  </w:t>
      </w:r>
      <w:r>
        <w:rPr>
          <w:b/>
        </w:rPr>
        <w:t xml:space="preserve">Chair</w:t>
      </w:r>
    </w:p>
    <w:p>
      <w:pPr>
        <w:jc w:val="both"/>
        <w:spacing w:before="100" w:after="100"/>
        <w:ind w:start="360"/>
        <w:ind w:firstLine="360"/>
      </w:pPr>
      <w:r>
        <w:rPr/>
      </w:r>
      <w:r>
        <w:rPr/>
      </w:r>
      <w:r>
        <w:t xml:space="preserve">The Governor shall select from among the members of the commission a chair.  The chair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2013, c. 104,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§7030-C.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§7030-C.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§7030-C.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