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Pt. B, §7 (COR); RR 2023, c. 1, Pt. B,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Pt. B, §8 (COR); RR 2023, c. 1, Pt. B,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Pt. B, §9 (COR); RR 2023, c. 1, Pt. B,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§§8, 9 (COR); RR 2023, c. 1, Pt. B,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§10 (COR); RR 2023, c. 1, Pt. B,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§11 (COR); RR 2023, c. 1, Pt. B,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§12 (COR); RR 2023, c. 1, Pt. B,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§13 (COR); RR 2023, c. 1, Pt. B,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§14 (COR); RR 2023, c. 1, Pt. B,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§15 (COR); RR 2023, c. 1, Pt. B,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Pt. B, §§6-15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§7036. Duties of the State Human Resources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§7036. DUTIES OF THE STATE HUMAN RESOURCES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