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State employment services</w:t>
      </w:r>
    </w:p>
    <w:p>
      <w:pPr>
        <w:jc w:val="both"/>
        <w:spacing w:before="100" w:after="100"/>
        <w:ind w:start="360"/>
        <w:ind w:firstLine="360"/>
      </w:pPr>
      <w:r>
        <w:rPr/>
      </w:r>
      <w:r>
        <w:rPr/>
      </w:r>
      <w:r>
        <w:t xml:space="preserve">Any state agency or state-related agency engaged in employment, referral or placement service for private industry or public agencies shall fill all job orders on a nondiscriminatory basis, and shall decline any job order carrying a specification or limitation as to actual or perceived race, color, sex, sexual orientation, gender identity, physical or mental disability, religion, ancestry or national origin, age or familial status, unless it relates to a bona fide job requirement.</w:t>
      </w:r>
      <w:r>
        <w:t xml:space="preserve">  </w:t>
      </w:r>
      <w:r xmlns:wp="http://schemas.openxmlformats.org/drawingml/2010/wordprocessingDrawing" xmlns:w15="http://schemas.microsoft.com/office/word/2012/wordml">
        <w:rPr>
          <w:rFonts w:ascii="Arial" w:hAnsi="Arial" w:cs="Arial"/>
          <w:sz w:val="22"/>
          <w:szCs w:val="22"/>
        </w:rPr>
        <w:t xml:space="preserve">[PL 2021, c. 553,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§6 (AMD). PL 2021, c. 553,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§785. State employment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State employment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§785. STATE EMPLOYMENT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