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Application forms for employment</w:t>
      </w:r>
    </w:p>
    <w:p>
      <w:pPr>
        <w:jc w:val="both"/>
        <w:spacing w:before="100" w:after="100"/>
        <w:ind w:start="360"/>
        <w:ind w:firstLine="360"/>
      </w:pPr>
      <w:r>
        <w:rPr/>
      </w:r>
      <w:r>
        <w:rPr/>
      </w:r>
      <w:r>
        <w:t xml:space="preserve">An application form for employment for a position in State Government may not include any questions regarding an applicant's criminal history except when, due to the nature and requirements of the position, a person who has a criminal history may be disqualified from eligibility for the position.  For purposes of this section, "position in State Government" means a position in the legislative, executive or judicial branch of State Government or a position with a quasi-independent state entity or public instrumentality of the State. "Position in State Government" does not include a position in a school administrative unit, municipality, county or other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§792. Application forms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Application forms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§792. APPLICATION FORMS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