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Governor's Office of Health Policy and Finance</w:t>
      </w:r>
    </w:p>
    <w:p>
      <w:pPr>
        <w:jc w:val="both"/>
        <w:spacing w:before="100" w:after="100"/>
        <w:ind w:start="360"/>
        <w:ind w:firstLine="360"/>
      </w:pPr>
      <w:r>
        <w:rPr/>
      </w:r>
      <w:r>
        <w:rPr/>
      </w:r>
      <w:r>
        <w:t xml:space="preserve">Notwithstanding any provision of law to the contrary, the provisions of this subchapter and </w:t>
      </w:r>
      <w:r>
        <w:t>subchapters 2</w:t>
      </w:r>
      <w:r>
        <w:t xml:space="preserve"> and </w:t>
      </w:r>
      <w:r>
        <w:t>2‑A</w:t>
      </w:r>
      <w:r>
        <w:t xml:space="preserve"> apply to rulemaking by the Governor's Office of Health Policy and Finance or its successor agency.</w:t>
      </w:r>
      <w:r>
        <w:t xml:space="preserve">  </w:t>
      </w:r>
      <w:r xmlns:wp="http://schemas.openxmlformats.org/drawingml/2010/wordprocessingDrawing" xmlns:w15="http://schemas.microsoft.com/office/word/2012/wordml">
        <w:rPr>
          <w:rFonts w:ascii="Arial" w:hAnsi="Arial" w:cs="Arial"/>
          <w:sz w:val="22"/>
          <w:szCs w:val="22"/>
        </w:rPr>
        <w:t xml:space="preserve">[PL 2005,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2005, c. 394,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§8005. Governor's Office of Health Policy and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Governor's Office of Health Policy and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§8005. GOVERNOR'S OFFICE OF HEALTH POLICY AND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