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90-C</w:t>
        <w:t xml:space="preserve">.  </w:t>
      </w:r>
      <w:r>
        <w:rPr>
          <w:b/>
        </w:rPr>
        <w:t xml:space="preserve">Voluntary filing system for designation of office for trustee process</w:t>
      </w:r>
    </w:p>
    <w:p>
      <w:pPr>
        <w:jc w:val="both"/>
        <w:spacing w:before="100" w:after="100"/>
        <w:ind w:start="360"/>
        <w:ind w:firstLine="360"/>
      </w:pPr>
      <w:r>
        <w:rPr/>
      </w:r>
      <w:r>
        <w:rPr/>
      </w:r>
      <w:r>
        <w:t xml:space="preserve">The Secretary of State shall establish and operate a central filing system to record and provide notice of offices designated by financial institutions authorized to do business in this State and credit unions authorized to do business in this State for service of trustee process under </w:t>
      </w:r>
      <w:r>
        <w:t>Title 14, section 2608‑A, subsection 1</w:t>
      </w:r>
      <w:r>
        <w:t xml:space="preserve">.  For this purpose, the Secretary of State may adopt rules, establish procedures and adopt a schedule of fees in conjunction with filing, registering, providing notices and other services performed by the Secretary of State in carrying out this section.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§90-C. Voluntary filing system for designation of office for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§90-C. Voluntary filing system for designation of office for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§90-C. VOLUNTARY FILING SYSTEM FOR DESIGNATION OF OFFICE FOR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