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Debt limit and approval of voters within airport authority territory</w:t>
      </w:r>
    </w:p>
    <w:p>
      <w:pPr>
        <w:jc w:val="both"/>
        <w:spacing w:before="100" w:after="100"/>
        <w:ind w:start="360"/>
        <w:ind w:firstLine="360"/>
      </w:pPr>
      <w:r>
        <w:rPr/>
      </w:r>
      <w:r>
        <w:rPr/>
      </w:r>
      <w:r>
        <w:t xml:space="preserve">Prior to issuing on behalf of an airport authority under </w:t>
      </w:r>
      <w:r>
        <w:t>section 179</w:t>
      </w:r>
      <w:r>
        <w:t xml:space="preserve"> any bond, note or other evidence of indebtedness payable within a period of more than 12 months after the date of issuance, the board of directors shall propose a debt limit for the airport authority that the board must submit for approval in a referendum in the charter territory of the airport authority.  The referendum must be called, advertised and conducted according to the law relating to municipal elections, except that the registrar of voters is not required to prepare or the clerk to post a new list of voters.  The voting place for the referendum may be outside the charter territory of the airport authority if the usual voting place for persons located within the charter territory is located outside the charter territory.  For the purpose of registering voters, the registrar of voters must be in session on the regular work 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establishment of an initial debt limit:  "Do you favor establishing the debt limit of the (insert name of airport authority) at (insert amount)?"; or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amendment of an existing debt limit:  "Do you favor changing the debt limit of the (insert name of airport authority)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results must be declared by the board of directors and entered upon the airport authority's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A debt limit proposal becomes effective upon its acceptance by a majority of the legal voters within the charter territory voting at the referendum.  Failure of approval by the majority of voters voting at the referendum does not prevent subsequent referenda from being held for the same purpose.  The costs of referenda are borne by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board of directors may not issue any bond, note or other evidence of indebtedness payable within a period of more than 12 months after the date of issuance unless the total amount of the debt issued by the directors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 Debt limit and approval of voters within airport authority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Debt limit and approval of voters within airport authority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§180. DEBT LIMIT AND APPROVAL OF VOTERS WITHIN AIRPORT AUTHORITY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