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2-A</w:t>
      </w:r>
    </w:p>
    <w:p>
      <w:pPr>
        <w:jc w:val="center"/>
        <w:ind w:start="360"/>
        <w:spacing w:before="300" w:after="300"/>
      </w:pPr>
      <w:r>
        <w:rPr>
          <w:b/>
        </w:rPr>
        <w:t xml:space="preserve">AGRICULTURAL LAND AND ADJACENT DEVELOPMENT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47</w:t>
        <w:t xml:space="preserve">.  </w:t>
      </w:r>
      <w:r>
        <w:rPr>
          <w:b/>
        </w:rPr>
        <w:t xml:space="preserve">Variance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2-A. AGRICULTURAL LAND AND ADJACENT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2-A. AGRICULTURAL LAND AND ADJACENT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2-A. AGRICULTURAL LAND AND ADJACENT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