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ARBORIST LICENSING</w:t>
      </w:r>
    </w:p>
    <w:p>
      <w:pPr>
        <w:jc w:val="center"/>
        <w:ind w:start="360"/>
        <w:spacing w:before="300" w:after="300"/>
      </w:pPr>
      <w:r>
        <w:rPr>
          <w:b/>
        </w:rPr>
        <w:t>SUBCHAPTER</w:t>
        <w:t xml:space="preserve"> </w:t>
        <w:t>1</w:t>
      </w:r>
    </w:p>
    <w:p>
      <w:pPr>
        <w:jc w:val="center"/>
        <w:ind w:start="360"/>
        <w:spacing w:before="300" w:after="300"/>
      </w:pPr>
      <w:r>
        <w:rPr>
          <w:b/>
        </w:rPr>
        <w:t xml:space="preserve">NURSERY OWNERS AND DEALERS GENERALLY</w:t>
      </w:r>
    </w:p>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404. ARBORIST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ARBORIST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404. ARBORIST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