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Violations</w:t>
      </w:r>
    </w:p>
    <w:p>
      <w:pPr>
        <w:jc w:val="both"/>
        <w:spacing w:before="100" w:after="100"/>
        <w:ind w:start="360"/>
        <w:ind w:firstLine="360"/>
      </w:pPr>
      <w:r>
        <w:rPr/>
      </w:r>
      <w:r>
        <w:rPr/>
      </w:r>
      <w:r>
        <w:t xml:space="preserve">Any person who shall violate any of the provisions of this Article, except </w:t>
      </w:r>
      <w:r>
        <w:t>section 1017, subsection 1, paragraph B</w:t>
      </w:r>
      <w:r>
        <w:t xml:space="preserve">, or shall neglect or refuse to comply with the provisions thereof or any rule or regulation promulgated hereunder shall be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§86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100"/>
        <w:ind w:start="360"/>
        <w:ind w:firstLine="360"/>
      </w:pPr>
      <w:r>
        <w:rPr/>
      </w:r>
      <w:r>
        <w:rPr/>
      </w:r>
      <w:r>
        <w:t xml:space="preserve">Each day a violation under this section remains uncorrected may be counted as a separate offense.  Penalties may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2005, c. 333,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§86 (RPR). PL 2005, c. 333,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