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§1043. Label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Label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§1043. LABEL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