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Breeding and raising mink</w:t>
      </w:r>
    </w:p>
    <w:p>
      <w:pPr>
        <w:jc w:val="both"/>
        <w:spacing w:before="100" w:after="100"/>
        <w:ind w:start="360"/>
        <w:ind w:firstLine="360"/>
      </w:pPr>
      <w:r>
        <w:rPr/>
      </w:r>
      <w:r>
        <w:rPr/>
      </w:r>
      <w:r>
        <w:t xml:space="preserve">Mink that have been propagated in captivity for 2 or more generations are considered domesticated animals subject to this Title. Such domesticated mink or the pelts or products thereof are considered agricultural products and the breeding, raising, producing in captivity and marketing of mink is an agricultural pursuit. Any person, firm or corporation engaged in breeding and raising mink shall comply with the permitting requirements for importation and possession of wildlife under </w:t>
      </w:r>
      <w:r>
        <w:t>Title 12, chapter 915, subchapter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§D3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§1351. Breeding and raising mink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Breeding and raising mink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§1351. BREEDING AND RAISING MINK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