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Animal husbandry expert</w:t>
      </w:r>
    </w:p>
    <w:p>
      <w:pPr>
        <w:jc w:val="both"/>
        <w:spacing w:before="100" w:after="100"/>
        <w:ind w:start="360"/>
        <w:ind w:firstLine="360"/>
      </w:pPr>
      <w:r>
        <w:rPr/>
      </w:r>
      <w:r>
        <w:rPr/>
      </w:r>
      <w:r>
        <w:t xml:space="preserve">The commissioner is authorized to employ an animal husbandry expert. The commissioner may employ such assistants as the commissioner considers necessary, subject to the Civil Service Law. Such expenses in connection therewith must be paid as the commissioner may approve.</w:t>
      </w:r>
      <w:r>
        <w:t xml:space="preserve">  </w:t>
      </w:r>
      <w:r xmlns:wp="http://schemas.openxmlformats.org/drawingml/2010/wordprocessingDrawing" xmlns:w15="http://schemas.microsoft.com/office/word/2012/wordml">
        <w:rPr>
          <w:rFonts w:ascii="Arial" w:hAnsi="Arial" w:cs="Arial"/>
          <w:sz w:val="22"/>
          <w:szCs w:val="22"/>
        </w:rPr>
        <w:t xml:space="preserve">[RR 2021, c. 1, Pt. B, §124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§B45 (AMD). RR 2021, c. 1, Pt. B, §124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§1701. Animal husbandry expert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Animal husbandry expert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§1701. ANIMAL HUSBANDRY EXPERT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