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Department lead agency; powers of commissioner</w:t>
      </w:r>
    </w:p>
    <w:p>
      <w:pPr>
        <w:jc w:val="both"/>
        <w:spacing w:before="100" w:after="0"/>
        <w:ind w:start="360"/>
        <w:ind w:firstLine="360"/>
      </w:pPr>
      <w:r>
        <w:rPr>
          <w:b/>
        </w:rPr>
        <w:t>1</w:t>
        <w:t xml:space="preserve">.  </w:t>
      </w:r>
      <w:r>
        <w:rPr>
          <w:b/>
        </w:rPr>
        <w:t xml:space="preserve">Lead agency.</w:t>
        <w:t xml:space="preserve"> </w:t>
      </w:r>
      <w:r>
        <w:t xml:space="preserve"> </w:t>
      </w:r>
      <w:r>
        <w:t xml:space="preserve">The department is the lead agency of the State for carrying out mosquito management activities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2</w:t>
        <w:t xml:space="preserve">.  </w:t>
      </w:r>
      <w:r>
        <w:rPr>
          <w:b/>
        </w:rPr>
        <w:t xml:space="preserve">Management methods.</w:t>
        <w:t xml:space="preserve"> </w:t>
      </w:r>
      <w:r>
        <w:t xml:space="preserve"> </w:t>
      </w:r>
      <w:r>
        <w:t xml:space="preserve">The commissioner may use appropriate methods for the management of mosquitoes and the prevention of their breeding in a manner consistent with </w:t>
      </w:r>
      <w:r>
        <w:t>section 171</w:t>
      </w:r>
      <w:r>
        <w:t xml:space="preserve">, including, but not limited to, conducting or contracting for mosquito management activities and purchasing equipment necessary for the purposes of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 Department lead agency;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Department lead agency;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§172. DEPARTMENT LEAD AGENCY;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