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§1807. ILLEGAL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