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§1821. Maine chronic wasting disease surveillance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Maine chronic wasting disease surveillance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§1821. MAINE CHRONIC WASTING DISEASE SURVEILLANCE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