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Holding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 HOLDING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