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219-A</w:t>
        <w:t xml:space="preserve">.  </w:t>
      </w:r>
      <w:r>
        <w:rPr>
          <w:b/>
        </w:rPr>
        <w:t xml:space="preserve">Reusable containers</w:t>
      </w:r>
    </w:p>
    <w:p>
      <w:pPr>
        <w:jc w:val="both"/>
        <w:spacing w:before="100" w:after="100"/>
        <w:ind w:start="360"/>
        <w:ind w:firstLine="360"/>
      </w:pPr>
      <w:r>
        <w:rPr/>
      </w:r>
      <w:r>
        <w:rPr/>
      </w:r>
      <w:r>
        <w:t xml:space="preserve">The department shall ensure that its rules, established in accordance with the commissioner's rule-making authority in </w:t>
      </w:r>
      <w:r>
        <w:t>section 12</w:t>
      </w:r>
      <w:r>
        <w:t xml:space="preserve">, and guidelines neither preclude business owners from allowing nor require business owners to allow consumers to supply their own containers for the bulk purchase of shelf-stable food and nonfood items.  The department shall provide technical assistance and education to business owners and consumers regarding best practices for the use of reusable containers.</w:t>
      </w:r>
      <w:r>
        <w:t xml:space="preserve">  </w:t>
      </w:r>
      <w:r xmlns:wp="http://schemas.openxmlformats.org/drawingml/2010/wordprocessingDrawing" xmlns:w15="http://schemas.microsoft.com/office/word/2012/wordml">
        <w:rPr>
          <w:rFonts w:ascii="Arial" w:hAnsi="Arial" w:cs="Arial"/>
          <w:sz w:val="22"/>
          <w:szCs w:val="22"/>
        </w:rPr>
        <w:t xml:space="preserve">[PL 2021, c. 177,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§219-A. Reusable containers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§219-A. Reusable containers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§219-A. REUSABLE CONTAINERS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