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Advisory and technical committees -- Article VII</w:t>
      </w:r>
    </w:p>
    <w:p>
      <w:pPr>
        <w:jc w:val="both"/>
        <w:spacing w:before="100" w:after="100"/>
        <w:ind w:start="360"/>
        <w:ind w:firstLine="360"/>
      </w:pPr>
      <w:r>
        <w:rPr/>
      </w:r>
      <w:r>
        <w:rPr/>
      </w:r>
      <w: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the governing board or executive committee and the board or committee may receive and consider the same, provided that any participant in a meeting of the governing board or executive committee held pursuant to </w:t>
      </w:r>
      <w:r>
        <w:t>section 2317, subsection 4</w:t>
      </w:r>
      <w:r>
        <w:t xml:space="preserve"> is entitled to know the substance of any such information and recommendations, at the time of the meeting if furnished before or as part of the meeting or, if furnished after the meeting, no later than the time at which the governing board or executive committee makes its disposition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§2318. Advisory and technical committees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Advisory and technical committees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§2318. ADVISORY AND TECHNICAL COMMITTEES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