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3155-B</w:t>
        <w:t xml:space="preserve">.  </w:t>
      </w:r>
      <w:r>
        <w:rPr>
          <w:b/>
        </w:rPr>
        <w:t xml:space="preserve">Eligible marketing cooperative; revocation of status</w:t>
      </w:r>
    </w:p>
    <w:p>
      <w:pPr>
        <w:jc w:val="both"/>
        <w:spacing w:before="100" w:after="100"/>
        <w:ind w:start="360"/>
        <w:ind w:firstLine="360"/>
      </w:pPr>
      <w:r>
        <w:rPr/>
      </w:r>
      <w:r>
        <w:rPr/>
      </w:r>
      <w:r>
        <w:t xml:space="preserve">Notwithstanding </w:t>
      </w:r>
      <w:r>
        <w:t>section 3155‑A</w:t>
      </w:r>
      <w:r>
        <w:t xml:space="preserve">, </w:t>
      </w:r>
      <w:r>
        <w:t>Title 4, section 152, subsection 9</w:t>
      </w:r>
      <w:r>
        <w:t xml:space="preserve"> and </w:t>
      </w:r>
      <w:r>
        <w:t>Title 5, section 10051, subsection 1</w:t>
      </w:r>
      <w:r>
        <w:t xml:space="preserve">, the commissioner may revoke the eligible status of a marketing cooperative upon a determination that it has through its operation evaded, impaired or undermined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382, Pt. F,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§3155-B. Eligible marketing cooperative; revocation of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§3155-B. Eligible marketing cooperative; revocation of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§3155-B. ELIGIBLE MARKETING COOPERATIVE; REVOCATION OF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