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§3916. Rabies vaccinations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§3916. Rabies vaccinations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§3916. RABIES VACCINATIONS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