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3944</w:t>
        <w:t xml:space="preserve">.  </w:t>
      </w:r>
      <w:r>
        <w:rPr>
          <w:b/>
        </w:rPr>
        <w:t xml:space="preserve">Issuance of kennel licenses</w:t>
      </w:r>
    </w:p>
    <w:p>
      <w:pPr>
        <w:jc w:val="both"/>
        <w:spacing w:before="100" w:after="100"/>
        <w:ind w:start="360"/>
        <w:ind w:firstLine="360"/>
      </w:pPr>
      <w:r>
        <w:rPr/>
      </w:r>
      <w:r>
        <w:rPr/>
      </w:r>
      <w:r>
        <w:t xml:space="preserve">Municipal clerks and dog recorders shall issue kennel licenses to kennel owners or operators in accordance with </w:t>
      </w:r>
      <w:r>
        <w:t>section 3923‑C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690,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§37 (AMD). PL 1993, c. 657, §38 (AMD). PL 1997, c. 690,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§3944. Issuance of kennel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§3944. Issuance of kennel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§3944. ISSUANCE OF KENNEL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