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3950-C</w:t>
        <w:t xml:space="preserve">.  </w:t>
      </w:r>
      <w:r>
        <w:rPr>
          <w:b/>
        </w:rPr>
        <w:t xml:space="preserve">Immunity from civil liability</w:t>
      </w:r>
    </w:p>
    <w:p>
      <w:pPr>
        <w:jc w:val="both"/>
        <w:spacing w:before="100" w:after="100"/>
        <w:ind w:start="360"/>
        <w:ind w:firstLine="360"/>
      </w:pPr>
      <w:r>
        <w:rPr/>
      </w:r>
      <w:r>
        <w:rPr/>
      </w:r>
      <w:r>
        <w:t xml:space="preserve">A municipality, veterinarian, humane agent, animal control officer or animal shelter is not civilly liable to any party for authorization made in accordance with </w:t>
      </w:r>
      <w:r>
        <w:t>section 3950‑B</w:t>
      </w:r>
      <w:r>
        <w:t xml:space="preserve"> nor is any person performing euthanasia under that authorization civilly liable.</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§3950-C.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§3950-C.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§3950-C.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