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State of Maine Building at Eastern States Exposition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State of Maine Building at Eastern States Exposition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§403. STATE OF MAINE BUILDING AT EASTERN STATES EXPOSITION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