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Definitions</w:t>
      </w:r>
    </w:p>
    <w:p>
      <w:pPr>
        <w:jc w:val="both"/>
        <w:spacing w:before="100" w:after="100"/>
        <w:ind w:start="360"/>
        <w:ind w:firstLine="360"/>
      </w:pPr>
      <w:r>
        <w:rPr/>
      </w:r>
      <w:r>
        <w:rPr/>
      </w:r>
      <w:r>
        <w:t xml:space="preserve">As used in this subchapter,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505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w:t>
      </w:r>
    </w:p>
    <w:p>
      <w:pPr>
        <w:jc w:val="both"/>
        <w:spacing w:before="100" w:after="0"/>
        <w:ind w:start="360"/>
        <w:ind w:firstLine="360"/>
      </w:pPr>
      <w:r>
        <w:rPr>
          <w:b/>
        </w:rPr>
        <w:t>2</w:t>
        <w:t xml:space="preserve">.  </w:t>
      </w:r>
      <w:r>
        <w:rPr>
          <w:b/>
        </w:rPr>
        <w:t xml:space="preserve">Direct-marketing.</w:t>
        <w:t xml:space="preserve"> </w:t>
      </w:r>
      <w:r>
        <w:t xml:space="preserve"> </w:t>
      </w:r>
      <w:r>
        <w:t xml:space="preserve">"Direct-marketing" means the marketing of agricultural commodities by farmers directly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