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§4152-A. Documents necessary for breed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§4152-A. DOCUMENTS NECESSARY FOR BREED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