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53-A</w:t>
        <w:t xml:space="preserve">.  </w:t>
      </w:r>
      <w:r>
        <w:rPr>
          <w:b/>
        </w:rPr>
        <w:t xml:space="preserve">Eligibility</w:t>
      </w:r>
    </w:p>
    <w:p>
      <w:pPr>
        <w:jc w:val="both"/>
        <w:spacing w:before="100" w:after="100"/>
        <w:ind w:start="360"/>
        <w:ind w:firstLine="360"/>
      </w:pPr>
      <w:r>
        <w:rPr/>
      </w:r>
      <w:r>
        <w:rPr/>
      </w:r>
      <w:r>
        <w:t xml:space="preserve">Any owner who intends to register land as farmland pursuant to </w:t>
      </w:r>
      <w:r>
        <w:t>section 53‑B</w:t>
      </w:r>
      <w:r>
        <w:t xml:space="preserve"> shall:</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Application.</w:t>
        <w:t xml:space="preserve"> </w:t>
      </w:r>
      <w:r>
        <w:t xml:space="preserve"> </w:t>
      </w:r>
      <w:r>
        <w:t xml:space="preserve">Submit an application for review by the soil and water conservation district in which the land is located in accordance with the provisions of </w:t>
      </w:r>
      <w:r>
        <w:t>Title 12, section 6‑A</w:t>
      </w:r>
      <w:r>
        <w:t xml:space="preserve">.   The owner shall use an application provided by the department;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§5 (AMD).]</w:t>
      </w:r>
    </w:p>
    <w:p>
      <w:pPr>
        <w:jc w:val="both"/>
        <w:spacing w:before="100" w:after="0"/>
        <w:ind w:start="360"/>
        <w:ind w:firstLine="360"/>
      </w:pPr>
      <w:r>
        <w:rPr>
          <w:b/>
        </w:rPr>
        <w:t>2</w:t>
        <w:t xml:space="preserve">.  </w:t>
      </w:r>
      <w:r>
        <w:rPr>
          <w:b/>
        </w:rPr>
        <w:t xml:space="preserve">Notice of intent.</w:t>
        <w:t xml:space="preserve"> </w:t>
      </w:r>
      <w:r>
        <w:t xml:space="preserve"> </w:t>
      </w:r>
      <w:r>
        <w:t xml:space="preserve">Give notice of intent to register to all abutting landowners, as indicated on municipal or state tax records, a minimum of 15 days prior to submitting registration materials under </w:t>
      </w:r>
      <w:r>
        <w:t>section 53‑B</w:t>
      </w:r>
      <w:r>
        <w:t xml:space="preserve"> or </w:t>
      </w:r>
      <w:r>
        <w:t>53‑I</w:t>
      </w:r>
      <w:r>
        <w:t xml:space="preserve">.  Abutters must be notified on a form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§5 (AMD).]</w:t>
      </w:r>
    </w:p>
    <w:p>
      <w:pPr>
        <w:jc w:val="both"/>
        <w:spacing w:before="100" w:after="0"/>
        <w:ind w:start="360"/>
        <w:ind w:firstLine="360"/>
      </w:pPr>
      <w:r>
        <w:rPr>
          <w:b/>
        </w:rPr>
        <w:t>3</w:t>
        <w:t xml:space="preserve">.  </w:t>
      </w:r>
      <w:r>
        <w:rPr>
          <w:b/>
        </w:rPr>
        <w:t xml:space="preserve">Farm and Open Space Tax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§53-A.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§53-A.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§53-A.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