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 Right-of-way spraying; no-spray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Right-of-way spraying; no-spray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§625. RIGHT-OF-WAY SPRAYING; NO-SPRAY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