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Disposal of forfeitures</w:t>
      </w:r>
    </w:p>
    <w:p>
      <w:pPr>
        <w:jc w:val="both"/>
        <w:spacing w:before="100" w:after="100"/>
        <w:ind w:start="360"/>
        <w:ind w:firstLine="360"/>
      </w:pPr>
      <w:r>
        <w:rPr/>
      </w:r>
      <w:r>
        <w:rPr/>
      </w:r>
      <w:r>
        <w:t xml:space="preserve">All fines imposed for violation of this subchapter must be paid to the commissioner. The commissioner shall send all fines received for violations of this subchapter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512,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§67 (RPR). PL 2005, c. 512,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§638. Disposal of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Disposal of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§638. DISPOSAL OF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