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743-B</w:t>
        <w:t xml:space="preserve">.  </w:t>
      </w:r>
      <w:r>
        <w:rPr>
          <w:b/>
        </w:rPr>
        <w:t xml:space="preserve">Exemption for biosolids</w:t>
      </w:r>
    </w:p>
    <w:p>
      <w:pPr>
        <w:jc w:val="both"/>
        <w:spacing w:before="100" w:after="100"/>
        <w:ind w:start="360"/>
        <w:ind w:firstLine="360"/>
      </w:pPr>
      <w:r>
        <w:rPr/>
      </w:r>
      <w:r>
        <w:rPr/>
      </w:r>
      <w:r>
        <w:t>Sections 743</w:t>
      </w:r>
      <w:r>
        <w:t xml:space="preserve"> and </w:t>
      </w:r>
      <w:r>
        <w:t>743‑A</w:t>
      </w:r>
      <w:r>
        <w:t xml:space="preserve"> do not apply to packaged biosolids or unpackaged biosolids that are derived primarily from residuals regulated by </w:t>
      </w:r>
      <w:r>
        <w:t>Title 38, chapter 13</w:t>
      </w:r>
      <w:r>
        <w:t xml:space="preserve"> and by rules adopted by the Department of Environmental Protection governing solid waste management matters concerning composting facilities and the agronomic utilization of residuals when those biosolids include a legible and conspicuous disclaimer on their marketing materials and labeling specifically stating:  "This product is not a commercial fertilizer, and any nutrient claims are not a guaranteed analysis."  If a fertilizer material percentage statement appears on a label or accompanying delivery documentation, except for those products for which delivery documentation is required by Department of Environmental Protection rule, that product must be registered as a fertilizer.</w:t>
      </w:r>
      <w:r>
        <w:t xml:space="preserve">  </w:t>
      </w:r>
      <w:r xmlns:wp="http://schemas.openxmlformats.org/drawingml/2010/wordprocessingDrawing" xmlns:w15="http://schemas.microsoft.com/office/word/2012/wordml">
        <w:rPr>
          <w:rFonts w:ascii="Arial" w:hAnsi="Arial" w:cs="Arial"/>
          <w:sz w:val="22"/>
          <w:szCs w:val="22"/>
        </w:rPr>
        <w:t xml:space="preserve">[PL 2013,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§743-B. Exemption for biosolids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§743-B. Exemption for biosolids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§743-B. EXEMPTION FOR BIOSOLIDS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