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Prohibited acts</w:t>
      </w:r>
    </w:p>
    <w:p>
      <w:pPr>
        <w:jc w:val="both"/>
        <w:spacing w:before="100" w:after="100"/>
        <w:ind w:start="360"/>
        <w:ind w:firstLine="360"/>
      </w:pPr>
      <w:r>
        <w:rPr/>
      </w:r>
      <w:r>
        <w:rPr/>
      </w:r>
      <w:r>
        <w:t xml:space="preserve">No person may sell or offer for sale any agricultural liming material in this State unless it complies with this subchapter and rules adopted under this subchapter.  No person may sell or offer for sale any agricultural liming material in this State containing materials that are or will be deleterious to plant or animal life, when the agricultural liming material is applied at rates recommended by a soils testing laboratory.</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§764.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§764.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