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 LICENSING OF AGRICULTURAL 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