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897</w:t>
        <w:t xml:space="preserve">.  </w:t>
      </w:r>
      <w:r>
        <w:rPr>
          <w:b/>
        </w:rPr>
        <w:t xml:space="preserve">Enforcement; jurisdiction</w:t>
      </w:r>
    </w:p>
    <w:p>
      <w:pPr>
        <w:jc w:val="both"/>
        <w:spacing w:before="100" w:after="100"/>
        <w:ind w:start="360"/>
        <w:ind w:firstLine="360"/>
      </w:pPr>
      <w:r>
        <w:rPr/>
      </w:r>
      <w:r>
        <w:rPr/>
      </w:r>
      <w:r>
        <w:t xml:space="preserve">The commissioner shall diligently enforce all of the provisions of </w:t>
      </w:r>
      <w:r>
        <w:t>sections 891</w:t>
      </w:r>
      <w:r>
        <w:t xml:space="preserve"> to </w:t>
      </w:r>
      <w:r>
        <w:t>898</w:t>
      </w:r>
      <w:r>
        <w:t xml:space="preserve">.  The commissioner, either in person or by a duly authorized representative, has free access, ingress and egress to any place or building, store, gift shop or any building wherein maple or maple products are packed, stored, transported, sold or offered or exposed for sale or for transportation. The commissioner may also in person, or by a duly authorized representative, open any container and may upon tendering market price, take samples therefrom. The commissioner may recover forfeitures imposed for violation of those sections in a civil action brought in the commissioner's own name and if the commissioner prevails in that action, recovers full costs.</w:t>
      </w:r>
      <w:r>
        <w:t xml:space="preserve">  </w:t>
      </w:r>
      <w:r xmlns:wp="http://schemas.openxmlformats.org/drawingml/2010/wordprocessingDrawing" xmlns:w15="http://schemas.microsoft.com/office/word/2012/wordml">
        <w:rPr>
          <w:rFonts w:ascii="Arial" w:hAnsi="Arial" w:cs="Arial"/>
          <w:sz w:val="22"/>
          <w:szCs w:val="22"/>
        </w:rPr>
        <w:t xml:space="preserve">[RR 2021, c. 1, Pt. B, §112 (COR).]</w:t>
      </w:r>
    </w:p>
    <w:p>
      <w:pPr>
        <w:jc w:val="both"/>
        <w:spacing w:before="100" w:after="100"/>
        <w:ind w:start="360"/>
        <w:ind w:firstLine="360"/>
      </w:pPr>
      <w:r>
        <w:rPr/>
      </w:r>
      <w:r>
        <w:rPr/>
      </w:r>
      <w:r>
        <w:t xml:space="preserve">All money and forfeitures received by the commissioner for violations of </w:t>
      </w:r>
      <w:r>
        <w:t>sections 891</w:t>
      </w:r>
      <w:r>
        <w:t xml:space="preserve"> to </w:t>
      </w:r>
      <w:r>
        <w:t>898</w:t>
      </w:r>
      <w:r>
        <w:t xml:space="preserve"> must be paid by the commissioner to the Treasurer of State and must be appropriated for carrying out those sections.</w:t>
      </w:r>
      <w:r>
        <w:t xml:space="preserve">  </w:t>
      </w:r>
      <w:r xmlns:wp="http://schemas.openxmlformats.org/drawingml/2010/wordprocessingDrawing" xmlns:w15="http://schemas.microsoft.com/office/word/2012/wordml">
        <w:rPr>
          <w:rFonts w:ascii="Arial" w:hAnsi="Arial" w:cs="Arial"/>
          <w:sz w:val="22"/>
          <w:szCs w:val="22"/>
        </w:rPr>
        <w:t xml:space="preserve">[RR 2021, c. 1, Pt. B, §113 (COR).]</w:t>
      </w:r>
    </w:p>
    <w:p>
      <w:pPr>
        <w:jc w:val="both"/>
        <w:spacing w:before="100" w:after="100"/>
        <w:ind w:start="360"/>
        <w:ind w:firstLine="360"/>
      </w:pPr>
      <w:r>
        <w:rPr/>
      </w:r>
      <w:r>
        <w:rPr/>
      </w:r>
      <w:r>
        <w:t xml:space="preserve">The commissioner shall, in a manner consistent with the Maine Administrative Procedure Act, establish such rules and regulations as may be needed for the proper enforcement of </w:t>
      </w:r>
      <w:r>
        <w:t>sections 891</w:t>
      </w:r>
      <w:r>
        <w:t xml:space="preserve"> to </w:t>
      </w:r>
      <w:r>
        <w:t>898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694, §88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PL 1977, c. 694, §88 (AMD). PL 1977, c. 696, §§76,77 (AMD). RR 2021, c. 1, Pt. B, §§112, 113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§897. Enforcement;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§897. Enforcement;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§897. ENFORCEMENT;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