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HARNESS RACING</w:t>
      </w:r>
    </w:p>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in the State.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§1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the State's off-track betting facilities licensed and in operation as of the date of the distribution.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PL 2023, c. 586, §§1, 2 (AMD). </w:t>
      </w:r>
    </w:p>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HARNESS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11. HARNESS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