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CIRCUSES</w:t>
      </w:r>
    </w:p>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CIRCUSES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CIRCUSES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 CIRCUSES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