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1064</w:t>
        <w:t xml:space="preserve">.  </w:t>
      </w:r>
      <w:r>
        <w:rPr>
          <w:b/>
        </w:rPr>
        <w:t xml:space="preserve">Applicability of Title 17, chapter 62</w:t>
      </w:r>
    </w:p>
    <w:p>
      <w:pPr>
        <w:jc w:val="both"/>
        <w:spacing w:before="100" w:after="100"/>
        <w:ind w:start="360"/>
        <w:ind w:firstLine="360"/>
      </w:pPr>
      <w:r>
        <w:rPr/>
      </w:r>
      <w:r>
        <w:rPr/>
      </w:r>
      <w:r>
        <w:t xml:space="preserve">Except as expressly provided in this chapter, the provisions of </w:t>
      </w:r>
      <w:r>
        <w:t>Title 17, chapter 62</w:t>
      </w:r>
      <w:r>
        <w:t xml:space="preserve"> do not apply to the ownership, distribution or operation of slot machines in the State.</w:t>
      </w:r>
      <w:r>
        <w:t xml:space="preserve">  </w:t>
      </w:r>
      <w:r xmlns:wp="http://schemas.openxmlformats.org/drawingml/2010/wordprocessingDrawing" xmlns:w15="http://schemas.microsoft.com/office/word/2012/wordml">
        <w:rPr>
          <w:rFonts w:ascii="Arial" w:hAnsi="Arial" w:cs="Arial"/>
          <w:sz w:val="22"/>
          <w:szCs w:val="22"/>
        </w:rPr>
        <w:t xml:space="preserve">[PL 2009, c. 487,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2009, c. 487,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§1064. Applicability of Title 17, chapter 62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§1064. Applicability of Title 17, chapter 62</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§1064. APPLICABILITY OF TITLE 17, CHAPTER 62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