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§263-B. Department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§263-B. DEPARTMENT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