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w:t>
        <w:t xml:space="preserve">.  </w:t>
      </w:r>
      <w:r>
        <w:rPr>
          <w:b/>
        </w:rPr>
        <w:t xml:space="preserve">Enforcement</w:t>
      </w:r>
    </w:p>
    <w:p>
      <w:pPr>
        <w:jc w:val="both"/>
        <w:spacing w:before="100" w:after="100"/>
        <w:ind w:start="360"/>
        <w:ind w:firstLine="360"/>
      </w:pPr>
      <w:r>
        <w:rPr/>
      </w:r>
      <w:r>
        <w:rPr/>
      </w:r>
      <w:r>
        <w:t xml:space="preserve">It is the duty of the Attorney General with the aid of the district attorneys of the several counties to enforce this chapter upon notification from the department of any violations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528,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1997, c. 528,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§282.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§282.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