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w:t>
        <w:t xml:space="preserve">.  </w:t>
      </w:r>
      <w:r>
        <w:rPr>
          <w:b/>
        </w:rPr>
        <w:t xml:space="preserve">Creation of the Tri-state Lotto Commission</w:t>
      </w:r>
    </w:p>
    <w:p>
      <w:pPr>
        <w:jc w:val="both"/>
        <w:spacing w:before="100" w:after="100"/>
        <w:ind w:start="360"/>
        <w:ind w:firstLine="360"/>
      </w:pPr>
      <w:r>
        <w:rPr/>
      </w:r>
      <w:r>
        <w:rPr/>
      </w:r>
      <w:r>
        <w:t xml:space="preserve">The party states, for the purpose of operating Tri-state Lotto, do hereby establish and create the Tri-state Lotto Commission.</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§405. Creation of the Tri-state Lotto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 Creation of the Tri-state Lotto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§405. CREATION OF THE TRI-STATE LOTTO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