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FINANCE CHARGES AND RELATED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CONSUMER CREDIT SALES: MAXIMUM FINANCE CHARGES</w:t>
      </w:r>
    </w:p>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jc w:val="center"/>
        <w:ind w:start="360"/>
        <w:spacing w:before="300" w:after="300"/>
      </w:pPr>
      <w:r>
        <w:rPr>
          <w:b/>
        </w:rPr>
        <w:t>PART</w:t>
        <w:t xml:space="preserve"> </w:t>
        <w:t>3</w:t>
      </w:r>
    </w:p>
    <w:p>
      <w:pPr>
        <w:jc w:val="center"/>
        <w:ind w:start="360"/>
        <w:spacing w:before="300" w:after="300"/>
      </w:pPr>
      <w:r>
        <w:rPr>
          <w:b/>
        </w:rPr>
        <w:t xml:space="preserve">CONSUMER LOANS: SUPERVISED LENDERS</w:t>
      </w:r>
    </w:p>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jc w:val="center"/>
        <w:ind w:start="360"/>
        <w:spacing w:before="300" w:after="300"/>
      </w:pPr>
      <w:r>
        <w:rPr>
          <w:b/>
        </w:rPr>
        <w:t>PART</w:t>
        <w:t xml:space="preserve"> </w:t>
        <w:t>4</w:t>
      </w:r>
    </w:p>
    <w:p>
      <w:pPr>
        <w:jc w:val="center"/>
        <w:ind w:start="360"/>
        <w:spacing w:before="300" w:after="300"/>
      </w:pPr>
      <w:r>
        <w:rPr>
          <w:b/>
        </w:rPr>
        <w:t xml:space="preserve">CONSUMER LOANS: MAXIMUM FINANCE CHARGES</w:t>
      </w:r>
    </w:p>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jc w:val="center"/>
        <w:ind w:start="360"/>
        <w:spacing w:before="300" w:after="300"/>
      </w:pPr>
      <w:r>
        <w:rPr>
          <w:b/>
        </w:rPr>
        <w:t>PART</w:t>
        <w:t xml:space="preserve"> </w:t>
        <w:t>5</w:t>
      </w:r>
    </w:p>
    <w:p>
      <w:pPr>
        <w:jc w:val="center"/>
        <w:ind w:start="360"/>
        <w:spacing w:before="300" w:after="300"/>
      </w:pPr>
      <w:r>
        <w:rPr>
          <w:b/>
        </w:rPr>
        <w:t xml:space="preserve">CONSUMER CREDIT TRANSACTIONS: OTHER CHARGES AND MODIFICATIONS</w:t>
      </w:r>
    </w:p>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jc w:val="center"/>
        <w:ind w:start="360"/>
        <w:spacing w:before="300" w:after="300"/>
      </w:pPr>
      <w:r>
        <w:rPr>
          <w:b/>
        </w:rPr>
        <w:t>PART</w:t>
        <w:t xml:space="preserve"> </w:t>
        <w:t>6</w:t>
      </w:r>
    </w:p>
    <w:p>
      <w:pPr>
        <w:jc w:val="center"/>
        <w:ind w:start="360"/>
        <w:spacing w:before="300" w:after="300"/>
      </w:pPr>
      <w:r>
        <w:rPr>
          <w:b/>
        </w:rPr>
        <w:t xml:space="preserve">OTHER CREDIT TRANSACTIONS</w:t>
      </w:r>
    </w:p>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7</w:t>
      </w:r>
    </w:p>
    <w:p>
      <w:pPr>
        <w:jc w:val="center"/>
        <w:ind w:start="360"/>
        <w:spacing w:before="300" w:after="300"/>
      </w:pPr>
      <w:r>
        <w:rPr>
          <w:b/>
        </w:rPr>
        <w:t xml:space="preserve">FRAUDULENT PRACTICES</w:t>
      </w:r>
    </w:p>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2. FINANCE CHARGES AND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