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jc w:val="both"/>
        <w:spacing w:before="100" w:after="100"/>
        <w:ind w:start="1080" w:hanging="720"/>
      </w:pPr>
      <w:r>
        <w:rPr>
          <w:b/>
        </w:rPr>
        <w:t>§</w:t>
        <w:t>8-104</w:t>
        <w:t xml:space="preserve">.  </w:t>
      </w:r>
      <w:r>
        <w:rPr>
          <w:b/>
        </w:rPr>
        <w:t xml:space="preserve">Regulations; model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502, §§D4,D5 (AMD). PL 1997, c. 155, §C2 (AMD). PL 2007, c. 273, Pt. C, §3 (AMD). PL 2007, c. 471, §8 (AMD). PL 2007, c. 471, §18 (AFF). PL 2009, c. 362, Pt. A, §7 (AMD). PL 2011, c. 427, Pt. A, §14 (RP). </w:t>
      </w:r>
    </w:p>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center"/>
        <w:ind w:start="360"/>
        <w:spacing w:before="300" w:after="300"/>
      </w:pPr>
      <w:r>
        <w:rPr>
          <w:b/>
        </w:rPr>
        <w:t>PART</w:t>
        <w:t xml:space="preserve"> </w:t>
        <w:t>2</w:t>
      </w:r>
    </w:p>
    <w:p>
      <w:pPr>
        <w:jc w:val="center"/>
        <w:ind w:start="360"/>
        <w:spacing w:before="300" w:after="300"/>
      </w:pPr>
      <w:r>
        <w:rPr>
          <w:b/>
        </w:rPr>
        <w:t xml:space="preserve">DISCLOSURE REQUIREMENTS</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jc w:val="center"/>
        <w:ind w:start="360"/>
        <w:spacing w:before="300" w:after="300"/>
      </w:pPr>
      <w:r>
        <w:rPr>
          <w:b/>
        </w:rPr>
        <w:t>PART</w:t>
        <w:t xml:space="preserve"> </w:t>
        <w:t>3</w:t>
      </w:r>
    </w:p>
    <w:p>
      <w:pPr>
        <w:jc w:val="center"/>
        <w:ind w:start="360"/>
        <w:spacing w:before="300" w:after="300"/>
      </w:pPr>
      <w:r>
        <w:rPr>
          <w:b/>
        </w:rPr>
        <w:t xml:space="preserve">CREDIT CARD RESTRICTIONS</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jc w:val="center"/>
        <w:ind w:start="360"/>
        <w:spacing w:before="300" w:after="300"/>
      </w:pPr>
      <w:r>
        <w:rPr>
          <w:b/>
        </w:rPr>
        <w:t>PART</w:t>
        <w:t xml:space="preserve"> </w:t>
        <w:t>4</w:t>
      </w:r>
    </w:p>
    <w:p>
      <w:pPr>
        <w:jc w:val="center"/>
        <w:ind w:start="360"/>
        <w:spacing w:before="300" w:after="300"/>
      </w:pPr>
      <w:r>
        <w:rPr>
          <w:b/>
        </w:rPr>
        <w:t xml:space="preserve">FAIR CREDIT BILLING</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8.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8.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