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CONSUMER CREDIT TRANSACTIONS MADE TO ACQUIRE REAL ESTATE OR SECURED BY FIRST-LIEN MORTGAGES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Scope</w:t>
      </w:r>
    </w:p>
    <w:p>
      <w:pPr>
        <w:jc w:val="both"/>
        <w:spacing w:before="100" w:after="100"/>
        <w:ind w:start="360"/>
        <w:ind w:firstLine="360"/>
      </w:pPr>
      <w:r>
        <w:rPr/>
      </w:r>
      <w:r>
        <w:rPr/>
      </w:r>
      <w:r>
        <w:t xml:space="preserve">This Article applies to all consumer credit transactions made by creditors that are not supervised financial organizations, that are made to finance or refinance the acquisition of real estate or the initial construction of a dwelling or that are secured by a first-lien mortgage on real estate and applies to the servicing of those transactions.</w:t>
      </w:r>
      <w:r>
        <w:t xml:space="preserve">  </w:t>
      </w:r>
      <w:r xmlns:wp="http://schemas.openxmlformats.org/drawingml/2010/wordprocessingDrawing" xmlns:w15="http://schemas.microsoft.com/office/word/2012/wordml">
        <w:rPr>
          <w:rFonts w:ascii="Arial" w:hAnsi="Arial" w:cs="Arial"/>
          <w:sz w:val="22"/>
          <w:szCs w:val="22"/>
        </w:rPr>
        <w:t xml:space="preserve">[PL 2017, c. 106,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2007, c. 273, Pt. A, §24 (AMD). PL 2007, c. 273, Pt. A, §41 (AFF). PL 2017, c. 106, §10 (AMD). </w:t>
      </w:r>
    </w:p>
    <w:p>
      <w:pPr>
        <w:jc w:val="center"/>
        <w:ind w:start="360"/>
        <w:spacing w:before="300" w:after="300"/>
      </w:pPr>
      <w:r>
        <w:rPr>
          <w:b/>
        </w:rPr>
        <w:t>PART</w:t>
        <w:t xml:space="preserve"> </w:t>
        <w:t>2</w:t>
      </w:r>
    </w:p>
    <w:p>
      <w:pPr>
        <w:jc w:val="center"/>
        <w:ind w:start="360"/>
        <w:spacing w:before="300" w:after="300"/>
      </w:pPr>
      <w:r>
        <w:rPr>
          <w:b/>
        </w:rPr>
        <w:t xml:space="preserve">LICENSING</w:t>
      </w:r>
    </w:p>
    <w:p>
      <w:pPr>
        <w:jc w:val="both"/>
        <w:spacing w:before="100" w:after="100"/>
        <w:ind w:start="1080" w:hanging="720"/>
      </w:pPr>
      <w:r>
        <w:rPr>
          <w:b/>
        </w:rPr>
        <w:t>§</w:t>
        <w:t>9-201</w:t>
        <w:t xml:space="preserve">.  </w:t>
      </w:r>
      <w:r>
        <w:rPr>
          <w:b/>
        </w:rPr>
        <w:t xml:space="preserve">Authority to make or service supervised loans; licensing</w:t>
      </w:r>
    </w:p>
    <w:p>
      <w:pPr>
        <w:jc w:val="both"/>
        <w:spacing w:before="100" w:after="100"/>
        <w:ind w:start="360"/>
        <w:ind w:firstLine="360"/>
      </w:pPr>
      <w:r>
        <w:rPr/>
      </w:r>
      <w:r>
        <w:rPr/>
      </w:r>
      <w:r>
        <w:t xml:space="preserve">The provisions of </w:t>
      </w:r>
      <w:r>
        <w:t>sections 2‑301</w:t>
      </w:r>
      <w:r>
        <w:t xml:space="preserve"> to </w:t>
      </w:r>
      <w:r>
        <w:t>2‑304</w:t>
      </w:r>
      <w:r>
        <w:t xml:space="preserve"> control the authority of supervised lenders and mortgage loan servicers that are not supervised financial organizations to make or service loans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2017, c. 106,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2017, c. 106, §11 (AMD). </w:t>
      </w:r>
    </w:p>
    <w:p>
      <w:pPr>
        <w:jc w:val="center"/>
        <w:ind w:start="360"/>
        <w:spacing w:before="300" w:after="300"/>
      </w:pPr>
      <w:r>
        <w:rPr>
          <w:b/>
        </w:rPr>
        <w:t>PART</w:t>
        <w:t xml:space="preserve"> </w:t>
        <w:t>3</w:t>
      </w:r>
    </w:p>
    <w:p>
      <w:pPr>
        <w:jc w:val="center"/>
        <w:ind w:start="360"/>
        <w:spacing w:before="300" w:after="300"/>
      </w:pPr>
      <w:r>
        <w:rPr>
          <w:b/>
        </w:rPr>
        <w:t xml:space="preserve">REGULATION OF AGREEMENTS AND PRACTICES</w:t>
      </w:r>
    </w:p>
    <w:p>
      <w:pPr>
        <w:jc w:val="both"/>
        <w:spacing w:before="100" w:after="100"/>
        <w:ind w:start="1080" w:hanging="720"/>
      </w:pPr>
      <w:r>
        <w:rPr>
          <w:b/>
        </w:rPr>
        <w:t>§</w:t>
        <w:t>9-301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and conditions of a consumer credit transaction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9-302</w:t>
        <w:t xml:space="preserve">.  </w:t>
      </w:r>
      <w:r>
        <w:rPr>
          <w:b/>
        </w:rPr>
        <w:t xml:space="preserve">Terms and conditions of consumer credit transactions; rulemaking</w:t>
      </w:r>
    </w:p>
    <w:p>
      <w:pPr>
        <w:jc w:val="both"/>
        <w:spacing w:before="100" w:after="0"/>
        <w:ind w:start="360"/>
        <w:ind w:firstLine="360"/>
      </w:pPr>
      <w:r>
        <w:rPr>
          <w:b/>
        </w:rPr>
        <w:t>1</w:t>
        <w:t xml:space="preserve">.  </w:t>
      </w:r>
      <w:r>
        <w:rPr>
          <w:b/>
        </w:rPr>
      </w:r>
      <w:r>
        <w:t xml:space="preserve"> </w:t>
      </w:r>
      <w:r>
        <w:t xml:space="preserve">In addition to other rule making authority that the administrator may have, he may adopt reasonable rules in accordance with this section governing agreements which are alternative mortgage transactions as defined in the Alternative Mortgage Transaction Parity Act of 1982, the United States Code, Title 12, Section 3802, subsection 1.  In adopting any rule, the administrator shall take into consideration the terms of any similar rules adopted by the Superintendent of Financial Institutions for supervised financial organizations chartered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w:t>
      </w:r>
    </w:p>
    <w:p>
      <w:pPr>
        <w:jc w:val="both"/>
        <w:spacing w:before="100" w:after="100"/>
        <w:ind w:start="360"/>
        <w:ind w:firstLine="360"/>
      </w:pPr>
      <w:r>
        <w:rPr>
          <w:b/>
        </w:rPr>
        <w:t>2</w:t>
        <w:t xml:space="preserve">.  </w:t>
      </w:r>
      <w:r>
        <w:rPr>
          <w:b/>
        </w:rPr>
      </w:r>
      <w:r>
        <w:t xml:space="preserve"> </w:t>
      </w:r>
      <w:r>
        <w:t xml:space="preserve">In any rule governing alternative mortgage transactions, the administrator may specify:</w:t>
      </w:r>
    </w:p>
    <w:p>
      <w:pPr>
        <w:jc w:val="both"/>
        <w:spacing w:before="100" w:after="0"/>
        <w:ind w:start="720"/>
      </w:pPr>
      <w:r>
        <w:rPr/>
        <w:t>A</w:t>
        <w:t xml:space="preserve">.  </w:t>
      </w:r>
      <w:r>
        <w:rPr/>
      </w:r>
      <w:r>
        <w:t xml:space="preserve">The maximum amount by which the annual percentage rate may change during a period of time and over the entire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The minimum notice that may be required to be given to the mortgagor prior to a change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Acceptable indices that may be used by creditors for the purpose of determining when, and the amount by which changes in the annual percentage rate may occur and what effects, if any, the choice of index may have on the rate movement allowances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Appropriate hypothetical examples to illustrate the effects of changes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Permissible variations in payment schedules, payment amounts, loan amortization and loan term resulting from rate variations or other contract terms; and</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Permissible limitations on refunds of prepaid finance charges and notice requirements for prepayment.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 </w:t>
      </w:r>
    </w:p>
    <w:p>
      <w:pPr>
        <w:jc w:val="both"/>
        <w:spacing w:before="100" w:after="100"/>
        <w:ind w:start="1080" w:hanging="720"/>
      </w:pPr>
      <w:r>
        <w:rPr>
          <w:b/>
        </w:rPr>
        <w:t>§</w:t>
        <w:t>9-303</w:t>
        <w:t xml:space="preserve">.  </w:t>
      </w:r>
      <w:r>
        <w:rPr>
          <w:b/>
        </w:rPr>
        <w:t xml:space="preserve">Consumer's choice of title attorney in consumer credit transactions secured by real estate</w:t>
      </w:r>
    </w:p>
    <w:p>
      <w:pPr>
        <w:jc w:val="both"/>
        <w:spacing w:before="100" w:after="0"/>
        <w:ind w:start="360"/>
        <w:ind w:firstLine="360"/>
      </w:pPr>
      <w:r>
        <w:rPr>
          <w:b/>
        </w:rPr>
        <w:t>1</w:t>
        <w:t xml:space="preserve">.  </w:t>
      </w:r>
      <w:r>
        <w:rPr>
          <w:b/>
        </w:rPr>
      </w:r>
      <w:r>
        <w:t xml:space="preserve"> </w:t>
      </w:r>
      <w:r>
        <w:t xml:space="preserve">Every creditor, which accepts an application for consumer credit transaction involving one to 4 residential units and which requires that an attorney search the title of the subject real estate, shall permit the prospective mortgagor to select a qualified attorney of his own choice to search the title of the subject real estate and certify that title to the creditor or land title insurance company, provided that the creditor may require the prospective mortgagor's attorney to provide it with evidence of adequate liability insurance or land title insurance or such other written policy requirements as the creditor may deem necessary to protect its interests, provided that if all such requirements are met by the attorney chosen by the mortgagor, no additional legal costs may be assessed by the creditor against the mortgagor for review of the title search or any other relevant title documents by the creditor, its title company or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Every creditor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creditor's requirements, then no additional fees may be charged to the mortgagor for title work. If the prospective mortgagor indicates on the written notice that he does not wish to exercise his right to select an attorney, then the creditor may recommend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Nothing in this section may be construed to require certification of title to a creditor if that creditor does not so require, or to a land title insurance company if that company does not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9-304</w:t>
        <w:t xml:space="preserve">.  </w:t>
      </w:r>
      <w:r>
        <w:rPr>
          <w:b/>
        </w:rPr>
        <w:t xml:space="preserve">Servicing requirements of assigned consumer credit transactions</w:t>
      </w:r>
    </w:p>
    <w:p>
      <w:pPr>
        <w:jc w:val="both"/>
        <w:spacing w:before="100" w:after="100"/>
        <w:ind w:start="360"/>
        <w:ind w:firstLine="360"/>
      </w:pPr>
      <w:r>
        <w:rPr/>
      </w:r>
      <w:r>
        <w:rPr/>
      </w:r>
      <w:r>
        <w:t xml:space="preserve">No consumer credit transaction secured by a mortgage on real estate may be assigned under this article unless: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360"/>
        <w:ind w:firstLine="360"/>
      </w:pPr>
      <w:r>
        <w:rPr>
          <w:b/>
        </w:rPr>
        <w:t>1</w:t>
        <w:t xml:space="preserve">.  </w:t>
      </w:r>
      <w:r>
        <w:rPr>
          <w:b/>
        </w:rPr>
      </w:r>
      <w:r>
        <w:t xml:space="preserve"> </w:t>
      </w:r>
      <w:r>
        <w:t xml:space="preserve">The creditor entering into the agreement retains servicing of the account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The assignee or servicing agent retained to collect the account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w:t>
        <w:t xml:space="preserve">.  </w:t>
      </w:r>
      <w:r>
        <w:rPr>
          <w:b/>
        </w:rPr>
        <w:t xml:space="preserve">Interest to be paid on funds held in escrow</w:t>
      </w:r>
    </w:p>
    <w:p>
      <w:pPr>
        <w:jc w:val="both"/>
        <w:spacing w:before="100" w:after="100"/>
        <w:ind w:start="360"/>
        <w:ind w:firstLine="360"/>
      </w:pPr>
      <w:r>
        <w:rPr/>
      </w:r>
      <w:r>
        <w:rPr/>
      </w:r>
      <w:r>
        <w:t xml:space="preserve">A creditor, including any of its assignees, that enters into consumer credit transactions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9-305-A</w:t>
        <w:t xml:space="preserve">.  </w:t>
      </w:r>
      <w:r>
        <w:rPr>
          <w:b/>
        </w:rPr>
        <w:t xml:space="preserve">Timely payments from escrow and notice of sale or transfer of mortgage on real estate</w:t>
      </w:r>
    </w:p>
    <w:p>
      <w:pPr>
        <w:jc w:val="both"/>
        <w:spacing w:before="100" w:after="0"/>
        <w:ind w:start="360"/>
        <w:ind w:firstLine="360"/>
      </w:pPr>
      <w:r>
        <w:rPr>
          <w:b/>
        </w:rPr>
        <w:t>1</w:t>
        <w:t xml:space="preserve">.  </w:t>
      </w:r>
      <w:r>
        <w:rPr>
          <w:b/>
        </w:rPr>
        <w:t xml:space="preserve">Payments from escrow.</w:t>
        <w:t xml:space="preserve"> </w:t>
      </w:r>
      <w:r>
        <w:t xml:space="preserve"> </w:t>
      </w:r>
      <w:r>
        <w:t xml:space="preserve">A creditor, assignee or servicer that holds or controls funds of a consumer in an escrow account for the payment of taxes or insurance premiums shall make timely payments from that escrow account for a consumer credit transaction secured by a mortgage on real estate.  A creditor, assignee or servicer is liable to the consumer for actual damages resulting from failure to make timely payments from that escrow account.  The creditor, assignee or servicer shall also rectify the results of a failure to make timely payments, including causing corrections of the consumer's credit report and causing the discharge of any liens against the consumer's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w:pPr>
        <w:jc w:val="both"/>
        <w:spacing w:before="100" w:after="0"/>
        <w:ind w:start="360"/>
        <w:ind w:firstLine="360"/>
      </w:pPr>
      <w:r>
        <w:rPr>
          <w:b/>
        </w:rPr>
        <w:t>2</w:t>
        <w:t xml:space="preserve">.  </w:t>
      </w:r>
      <w:r>
        <w:rPr>
          <w:b/>
        </w:rPr>
        <w:t xml:space="preserve">Notice of transfer or sale of mortgage on real estate.</w:t>
        <w:t xml:space="preserve"> </w:t>
      </w:r>
      <w:r>
        <w:t xml:space="preserve"> </w:t>
      </w:r>
      <w:r>
        <w:t xml:space="preserve">A creditor, assignee or servicer that holds or controls funds of a consumer in an escrow account for the payment of insurance premiums for a consumer credit transaction secured by a mortgage on real estate shall notify the insurer that provides insurance coverage for the real estate subject to the mortgage upon the sale or transfer of the mortgage. A creditor, assignee or servicer may satisfy the notice requirement in this subsection by providing the insurer with a copy of the notice of the sale or transfer of the mortgage sent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PL 2023, c. 69, §1 (RPR). </w:t>
      </w:r>
    </w:p>
    <w:p>
      <w:pPr>
        <w:jc w:val="both"/>
        <w:spacing w:before="100" w:after="100"/>
        <w:ind w:start="1080" w:hanging="720"/>
      </w:pPr>
      <w:r>
        <w:rPr>
          <w:b/>
        </w:rPr>
        <w:t>§</w:t>
        <w:t>9-305-B</w:t>
        <w:t xml:space="preserve">.  </w:t>
      </w:r>
      <w:r>
        <w:rPr>
          <w:b/>
        </w:rPr>
        <w:t xml:space="preserve">Timely responses to requests for payoff figures</w:t>
      </w:r>
    </w:p>
    <w:p>
      <w:pPr>
        <w:jc w:val="both"/>
        <w:spacing w:before="100" w:after="100"/>
        <w:ind w:start="360"/>
        <w:ind w:firstLine="360"/>
      </w:pPr>
      <w:r>
        <w:rPr/>
      </w:r>
      <w:r>
        <w:rPr/>
      </w:r>
      <w:r>
        <w:t xml:space="preserve">A creditor, assignee or servicer shall respond to a request for a payoff figure within 3 business days following receipt of such a request from a consumer or an agent of the consumer for a consumer credit transaction secured by a mortgage on real estate.  The response must include a precise payoff figure as of a date certain and must contain information permitting the consumer or the consumer's agent to update that figure, such as providing a per diem rate from a date certain.  A charge may not be assessed for the first 2 requests in any calendar year, and a charge for each subsequent request may not exceed $5.</w:t>
      </w:r>
      <w:r>
        <w:t xml:space="preserve">  </w:t>
      </w:r>
      <w:r xmlns:wp="http://schemas.openxmlformats.org/drawingml/2010/wordprocessingDrawing" xmlns:w15="http://schemas.microsoft.com/office/word/2012/wordml">
        <w:rPr>
          <w:rFonts w:ascii="Arial" w:hAnsi="Arial" w:cs="Arial"/>
          <w:sz w:val="22"/>
          <w:szCs w:val="22"/>
        </w:rPr>
        <w:t xml:space="preserve">[PL 2005,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w:t>
      </w:r>
    </w:p>
    <w:p>
      <w:pPr>
        <w:jc w:val="both"/>
        <w:spacing w:before="100" w:after="100"/>
        <w:ind w:start="1080" w:hanging="720"/>
      </w:pPr>
      <w:r>
        <w:rPr>
          <w:b/>
        </w:rPr>
        <w:t>§</w:t>
        <w:t>9-306</w:t>
        <w:t xml:space="preserve">.  </w:t>
      </w:r>
      <w:r>
        <w:rPr>
          <w:b/>
        </w:rPr>
        <w:t xml:space="preserve">Notice of assignment</w:t>
      </w:r>
    </w:p>
    <w:p>
      <w:pPr>
        <w:jc w:val="both"/>
        <w:spacing w:before="100" w:after="100"/>
        <w:ind w:start="360"/>
        <w:ind w:firstLine="360"/>
      </w:pPr>
      <w:r>
        <w:rPr/>
      </w:r>
      <w:r>
        <w:rPr/>
      </w:r>
      <w:r>
        <w:t xml:space="preserve">A consumer is not obligated to make payments on a consumer credit transaction to any creditor, other than the original creditor, until he receives notification of assignment of rights to payment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9-307</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a consumer, without request, a written receipt for each payment by coin or currency on an obligation pursuant to a consumer credit transaction.  Sending to the consumer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Upon written request of a consumer, the person to whom an obligation is owed pursuant to a consumer credit transaction,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9-308</w:t>
        <w:t xml:space="preserve">.  </w:t>
      </w:r>
      <w:r>
        <w:rPr>
          <w:b/>
        </w:rPr>
        <w:t xml:space="preserve">Right to prepay</w:t>
      </w:r>
    </w:p>
    <w:p>
      <w:pPr>
        <w:jc w:val="both"/>
        <w:spacing w:before="100" w:after="100"/>
        <w:ind w:start="360"/>
        <w:ind w:firstLine="360"/>
      </w:pPr>
      <w:r>
        <w:rPr/>
      </w:r>
      <w:r>
        <w:rPr/>
      </w:r>
      <w:r>
        <w:t xml:space="preserve">A consumer may prepay in full or in part the unpaid balance of a consumer credit transaction that is an alternative mortgage transaction, as defined in </w:t>
      </w:r>
      <w:r>
        <w:t>section 9‑302, subsection 1</w:t>
      </w:r>
      <w:r>
        <w:t xml:space="preserve">, at any time without penalty.</w:t>
      </w:r>
      <w:r>
        <w:t xml:space="preserve">  </w:t>
      </w:r>
      <w:r xmlns:wp="http://schemas.openxmlformats.org/drawingml/2010/wordprocessingDrawing" xmlns:w15="http://schemas.microsoft.com/office/word/2012/wordml">
        <w:rPr>
          <w:rFonts w:ascii="Arial" w:hAnsi="Arial" w:cs="Arial"/>
          <w:sz w:val="22"/>
          <w:szCs w:val="22"/>
        </w:rPr>
        <w:t xml:space="preserve">[PL 1995, c. 614,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1995, c. 614, §A16 (AMD). </w:t>
      </w:r>
    </w:p>
    <w:p>
      <w:pPr>
        <w:jc w:val="both"/>
        <w:spacing w:before="100" w:after="100"/>
        <w:ind w:start="1080" w:hanging="720"/>
      </w:pPr>
      <w:r>
        <w:rPr>
          <w:b/>
        </w:rPr>
        <w:t>§</w:t>
        <w:t>9-309</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1999, c. 150, §7 (AMD). </w:t>
      </w:r>
    </w:p>
    <w:p>
      <w:pPr>
        <w:jc w:val="both"/>
        <w:spacing w:before="100" w:after="100"/>
        <w:ind w:start="1080" w:hanging="720"/>
      </w:pPr>
      <w:r>
        <w:rPr>
          <w:b/>
        </w:rPr>
        <w:t>§</w:t>
        <w:t>9-310</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1,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(COR). PL 2001, c. 262, §A2 (NEW). </w:t>
      </w:r>
    </w:p>
    <w:p>
      <w:pPr>
        <w:jc w:val="both"/>
        <w:spacing w:before="100" w:after="100"/>
        <w:ind w:start="1080" w:hanging="720"/>
      </w:pPr>
      <w:r>
        <w:rPr>
          <w:b/>
        </w:rPr>
        <w:t>§</w:t>
        <w:t>9-311</w:t>
        <w:t xml:space="preserve">.  </w:t>
      </w:r>
      <w:r>
        <w:rPr>
          <w:b/>
        </w:rPr>
        <w:t xml:space="preserve">Choice of accounting, tax or attest services provider</w:t>
      </w:r>
    </w:p>
    <w:p>
      <w:pPr>
        <w:jc w:val="both"/>
        <w:spacing w:before="100" w:after="100"/>
        <w:ind w:start="360"/>
        <w:ind w:firstLine="360"/>
      </w:pPr>
      <w:r>
        <w:rPr/>
      </w:r>
      <w:r>
        <w:rPr/>
      </w:r>
      <w:r>
        <w:t xml:space="preserve">A creditor may not, in connection with the extension of credit, interfere with a purchaser's or borrower's free choice of an accounting, tax or attest services provider who is accredited as a certified public accountant, public accountant or enrolled agent, except that the creditor may require the provider chosen by the purchaser or borrower to provide adequate evidence of liability insurance or such other written policy requirements as the creditor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§7 (RPR); PL 2007, c. 466, Pt. B,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§2 (NEW). PL 2007, c. 273, Pt. A, §25 (NEW). PL 2007, c. 273, Pt. A, §41 (AFF). PL 2007, c. 466, Pt. B, §7 (RPR). PL 2007, c. 466, Pt. B, §10 (AFF). </w:t>
      </w:r>
    </w:p>
    <w:p>
      <w:pPr>
        <w:jc w:val="both"/>
        <w:spacing w:before="100" w:after="100"/>
        <w:ind w:start="1080" w:hanging="720"/>
      </w:pPr>
      <w:r>
        <w:rPr>
          <w:b/>
        </w:rPr>
        <w:t>§</w:t>
        <w:t>9-311-A</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§8 (NEW). PL 2007, c. 466, Pt. B, §10 (AFF). PL 2011, c. 427, Pt. B, §12 (AMD). PL 2013, c. 464, §11 (AMD). </w:t>
      </w:r>
    </w:p>
    <w:p>
      <w:pPr>
        <w:jc w:val="both"/>
        <w:spacing w:before="100" w:after="100"/>
        <w:ind w:start="1080" w:hanging="720"/>
      </w:pPr>
      <w:r>
        <w:rPr>
          <w:b/>
        </w:rPr>
        <w:t>§</w:t>
        <w:t>9-312</w:t>
        <w:t xml:space="preserve">.  </w:t>
      </w:r>
      <w:r>
        <w:rPr>
          <w:b/>
        </w:rPr>
        <w:t xml:space="preserve">False information on application for credit</w:t>
      </w:r>
    </w:p>
    <w:p>
      <w:pPr>
        <w:jc w:val="both"/>
        <w:spacing w:before="100" w:after="100"/>
        <w:ind w:start="360"/>
        <w:ind w:firstLine="360"/>
      </w:pPr>
      <w:r>
        <w:rPr/>
      </w:r>
      <w:r>
        <w:rPr/>
      </w:r>
      <w:r>
        <w:t xml:space="preserve">A supervised lender, or any mortgage loan originator of a supervised lender, may not knowingly permit, encourage or assist a consumer to submit false information on any application for credit, nor may a supervised lender or mortgage loan originator of a supervised lender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§26 (NEW). PL 2007, c. 273, Pt. A, §41 (AFF). PL 2011, c. 427, Pt. B, §13 (AMD). </w:t>
      </w:r>
    </w:p>
    <w:p>
      <w:pPr>
        <w:jc w:val="both"/>
        <w:spacing w:before="100" w:after="100"/>
        <w:ind w:start="1080" w:hanging="720"/>
      </w:pPr>
      <w:r>
        <w:rPr>
          <w:b/>
        </w:rPr>
        <w:t>§</w:t>
        <w:t>9-313</w:t>
        <w:t xml:space="preserve">.  </w:t>
      </w:r>
      <w:r>
        <w:rPr>
          <w:b/>
        </w:rPr>
        <w:t xml:space="preserve">Rate locks</w:t>
      </w:r>
    </w:p>
    <w:p>
      <w:pPr>
        <w:jc w:val="both"/>
        <w:spacing w:before="100" w:after="100"/>
        <w:ind w:start="360"/>
        <w:ind w:firstLine="360"/>
      </w:pPr>
      <w:r>
        <w:rPr/>
      </w:r>
      <w:r>
        <w:rPr/>
      </w:r>
      <w:r>
        <w:t xml:space="preserve">If a supervised lender charges a consumer a fee to lock in a certain interest rate for a certain length of time, that supervised lender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§27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 </w:t>
      </w:r>
    </w:p>
    <w:p>
      <w:pPr>
        <w:jc w:val="both"/>
        <w:spacing w:before="100" w:after="100"/>
        <w:ind w:start="1080" w:hanging="720"/>
      </w:pPr>
      <w:r>
        <w:rPr>
          <w:b/>
        </w:rPr>
        <w:t>§</w:t>
        <w:t>9-314</w:t>
        <w:t xml:space="preserve">.  </w:t>
      </w:r>
      <w:r>
        <w:rPr>
          <w:b/>
        </w:rPr>
        <w:t xml:space="preserve">Prepayment penalty riders</w:t>
      </w:r>
    </w:p>
    <w:p>
      <w:pPr>
        <w:jc w:val="both"/>
        <w:spacing w:before="100" w:after="100"/>
        <w:ind w:start="360"/>
        <w:ind w:firstLine="360"/>
      </w:pPr>
      <w:r>
        <w:rPr/>
      </w:r>
      <w:r>
        <w:rPr/>
      </w:r>
      <w:r>
        <w:t xml:space="preserve">A supervised lender may not impose a prepayment penalty provision through use of a rider or amendment to the loan contract if the terms of the loan contract state that no such prepayment penalty may be imposed or that such a penalty is not specifically authorized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273, Pt. A, §28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§28 (NEW). PL 2007, c. 273, Pt. A, §41 (AFF). </w:t>
      </w:r>
    </w:p>
    <w:p>
      <w:pPr>
        <w:jc w:val="both"/>
        <w:spacing w:before="100" w:after="100"/>
        <w:ind w:start="1080" w:hanging="720"/>
      </w:pPr>
      <w:r>
        <w:rPr>
          <w:b/>
        </w:rPr>
        <w:t>§</w:t>
        <w:t>9-315</w:t>
        <w:t xml:space="preserve">.  </w:t>
      </w:r>
      <w:r>
        <w:rPr>
          <w:b/>
        </w:rPr>
        <w:t xml:space="preserve">Notice of rights under federal Homeowners Protection Act of 1998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mortgage insurance" has the same meaning as in the federal Homeowners Protection Act of 1998, as in effect on January 1, 2023, 12 United States Code, Section 4901(13).</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"Residential mortgage transaction" means a transaction in which a mortgage, deed of trust, purchase money security interest arising under an installment contract or equivalent consensual security interest is created or retained against a single-family dwelling or a dwelling that consists of no more than 4 units that is the principal residence of the mortgagor to finance the acquisition, initial construction or refinancing of that dwelling.</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w:pPr>
        <w:jc w:val="both"/>
        <w:spacing w:before="100" w:after="100"/>
        <w:ind w:start="360"/>
        <w:ind w:firstLine="360"/>
      </w:pPr>
      <w:r>
        <w:rPr>
          <w:b/>
        </w:rPr>
        <w:t>2</w:t>
        <w:t xml:space="preserve">.  </w:t>
      </w:r>
      <w:r>
        <w:rPr>
          <w:b/>
        </w:rPr>
        <w:t xml:space="preserve">Annual notice.</w:t>
        <w:t xml:space="preserve"> </w:t>
      </w:r>
      <w:r>
        <w:t xml:space="preserve"> </w:t>
      </w:r>
      <w:r>
        <w:t xml:space="preserve">A supervised lender, or a mortgage loan servicer acting on behalf of a supervised lender, in a residential mortgage transaction shall disclose in an annual written statement to the mortgagor:</w:t>
      </w:r>
    </w:p>
    <w:p>
      <w:pPr>
        <w:jc w:val="both"/>
        <w:spacing w:before="100" w:after="0"/>
        <w:ind w:start="720"/>
      </w:pPr>
      <w:r>
        <w:rPr/>
        <w:t>A</w:t>
        <w:t xml:space="preserve">.  </w:t>
      </w:r>
      <w:r>
        <w:rPr/>
      </w:r>
      <w:r>
        <w:t xml:space="preserve">The rights of the mortgagor under the federal Homeowners Protection Act of 1998 to cancellation or termination of the private mortgage insurance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The address and telephone number that the mortgagor may use to contact the supervised lender or mortgage loan servicer to determine whether the mortgagor may cancel the private mortgage insurance.</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9-401</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9-402</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article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9-403</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transaction,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G</w:t>
        <w:t xml:space="preserve">.  </w:t>
      </w:r>
      <w:r>
        <w:rPr/>
      </w:r>
      <w:r>
        <w:t xml:space="preserve">Claim, attempt or threaten to enforce a right that has been barred by law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while such court retains jurisdiction, may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9-405</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assignee or servicer has violated the provisions of this article applying to timely payments from escrow, </w:t>
      </w:r>
      <w:r>
        <w:t>section 9‑305‑A</w:t>
      </w:r>
      <w:r>
        <w:t xml:space="preserve">, timely responses to requests for payoff figures, </w:t>
      </w:r>
      <w:r>
        <w:t>section 9‑305‑B</w:t>
      </w:r>
      <w:r>
        <w:t xml:space="preserve">, misrepresentation, </w:t>
      </w:r>
      <w:r>
        <w:t>section 9‑401</w:t>
      </w:r>
      <w:r>
        <w:t xml:space="preserve">, or illegal, fraudulent or unconscionable conduct in an attempted collection of debts, </w:t>
      </w:r>
      <w:r>
        <w:t>section 9‑403</w:t>
      </w:r>
      <w:r>
        <w:t xml:space="preserve">, any aggrieved consumer has a right to recover actual damages from that person, or in lieu thereof any consumer named as a plaintiff in the complaint as originally filed has a right to recover from a person violating this article an amount determined by the court not less than $250 nor more than $1,000.  No action pursuant to this subsection may be brought more than 2 years after the due date of the last scheduled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§4 (AMD).]</w:t>
      </w:r>
    </w:p>
    <w:p>
      <w:pPr>
        <w:jc w:val="both"/>
        <w:spacing w:before="100" w:after="0"/>
        <w:ind w:start="360"/>
        <w:ind w:firstLine="360"/>
      </w:pPr>
      <w:r>
        <w:rPr>
          <w:b/>
        </w:rPr>
        <w:t>2</w:t>
        <w:t xml:space="preserve">.  </w:t>
      </w:r>
      <w:r>
        <w:rPr>
          <w:b/>
        </w:rPr>
      </w:r>
      <w:r>
        <w:t xml:space="preserve"> </w:t>
      </w:r>
      <w:r>
        <w:t xml:space="preserve">A debtor is not obligated to pay a charge in excess of that allowed by this article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If the creditor has contracted for or received a charge in excess of that allowed by this article, or if a debtor, is entitled to a refund and a person liable to the debtor refuses to make a refund within a reasonable time after demand, the debtor may recover from the creditor or the person liable an amount determined by the court not less than $250 nor more than $1,000.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4</w:t>
        <w:t xml:space="preserve">.  </w:t>
      </w:r>
      <w:r>
        <w:rPr>
          <w:b/>
        </w:rPr>
      </w:r>
      <w:r>
        <w:t xml:space="preserve"> </w:t>
      </w:r>
      <w:r>
        <w:t xml:space="preserve">If a creditor has violated the provisions of this article applying to authority to make supervised loans, </w:t>
      </w:r>
      <w:r>
        <w:t>section 9‑201</w:t>
      </w:r>
      <w:r>
        <w:t xml:space="preserve">, the debtor is not obligated to pay any application fee, prepaid finance charge or closing cost, nor the loan finance charge owed for the first 12 months of the loan.  If the debtor has paid any part of the application fee, prepaid finance charge, closing cost or loan finance charge owed for the first 12 months of the loan, the debtor has a right to recover the payment from the person violating this article or from an assignee of that person's rights who undertakes direct collection of payments or enforcement of rights arising from the debt.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5</w:t>
        <w:t xml:space="preserve">.  </w:t>
      </w:r>
      <w:r>
        <w:rPr>
          <w:b/>
        </w:rPr>
      </w:r>
      <w:r>
        <w:t xml:space="preserve"> </w:t>
      </w:r>
      <w:r>
        <w:t xml:space="preserve">Except as otherwise provided, no violation of this article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6</w:t>
        <w:t xml:space="preserve">.  </w:t>
      </w:r>
      <w:r>
        <w:rPr>
          <w:b/>
        </w:rPr>
      </w:r>
      <w:r>
        <w:t xml:space="preserve"> </w:t>
      </w:r>
      <w:r>
        <w:t xml:space="preserve">A creditor has no liability under </w:t>
      </w:r>
      <w:r>
        <w:t>subsections 1</w:t>
      </w:r>
      <w:r>
        <w:t xml:space="preserve"> or </w:t>
      </w:r>
      <w:r>
        <w:t>3</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7</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2</w:t>
      </w:r>
      <w:r>
        <w:t xml:space="preserve">, the validity of the transaction is not affected, and no liability is imposed under </w:t>
      </w:r>
      <w:r>
        <w:t>subsection 3</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8</w:t>
        <w:t xml:space="preserve">.  </w:t>
      </w:r>
      <w:r>
        <w:rPr>
          <w:b/>
        </w:rPr>
      </w:r>
      <w:r>
        <w:t xml:space="preserve"> </w:t>
      </w:r>
      <w:r>
        <w:t xml:space="preserve">In an action in which it is found that a creditor has violated this article,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9</w:t>
        <w:t xml:space="preserve">.  </w:t>
      </w:r>
      <w:r>
        <w:rPr>
          <w:b/>
        </w:rPr>
      </w:r>
      <w:r>
        <w:t xml:space="preserve"> </w:t>
      </w:r>
      <w:r>
        <w:t xml:space="preserve">A creditor has no liability under </w:t>
      </w:r>
      <w:r>
        <w:t>subsection 1</w:t>
      </w:r>
      <w:r>
        <w:t xml:space="preserve"> or </w:t>
      </w:r>
      <w:r>
        <w:t>3</w:t>
      </w:r>
      <w:r>
        <w:t xml:space="preserve">, or under </w:t>
      </w:r>
      <w:r>
        <w:t>section 6‑113, subsection 2</w:t>
      </w:r>
      <w:r>
        <w:t xml:space="preserve">, for any act done or omitted in good faith in conformity with any rule or interpretation thereof by the administrator, notwithstanding that after such act or omission has occurred, the rule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1993, c. 496, §4 (AMD). PL 2005, c. 206, §4 (AMD). RR 2021, c. 2, Pt. A, §13 (COR). </w:t>
      </w:r>
    </w:p>
    <w:p>
      <w:pPr>
        <w:jc w:val="both"/>
        <w:spacing w:before="100" w:after="100"/>
        <w:ind w:start="1080" w:hanging="720"/>
      </w:pPr>
      <w:r>
        <w:rPr>
          <w:b/>
        </w:rPr>
        <w:t>§</w:t>
        <w:t>9-406</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9-407</w:t>
        <w:t xml:space="preserve">.  </w:t>
      </w:r>
      <w:r>
        <w:rPr>
          <w:b/>
        </w:rPr>
        <w:t xml:space="preserve">Criminal penalties</w:t>
      </w:r>
    </w:p>
    <w:p>
      <w:pPr>
        <w:jc w:val="both"/>
        <w:spacing w:before="100" w:after="100"/>
        <w:ind w:start="360"/>
        <w:ind w:firstLine="360"/>
      </w:pPr>
      <w:r>
        <w:rPr/>
      </w:r>
      <w:r>
        <w:rPr/>
      </w:r>
      <w:r>
        <w:t xml:space="preserve">Any creditor, any officer or employee of a creditor, or any other person who willfully and knowingly violates this article, or directly or indirectly counsels, aids or abets that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9-408</w:t>
        <w:t xml:space="preserve">.  </w:t>
      </w:r>
      <w:r>
        <w:rPr>
          <w:b/>
        </w:rPr>
        <w:t xml:space="preserve">Violation of the Maine Unfair Trade Practices Act</w:t>
      </w:r>
    </w:p>
    <w:p>
      <w:pPr>
        <w:jc w:val="both"/>
        <w:spacing w:before="100" w:after="100"/>
        <w:ind w:start="360"/>
        <w:ind w:firstLine="360"/>
      </w:pPr>
      <w:r>
        <w:rPr/>
      </w:r>
      <w:r>
        <w:rPr/>
      </w:r>
      <w:r>
        <w:t xml:space="preserve">Any violation of this article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402,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9. CONSUMER CREDIT TRANSACTIONS MADE TO ACQUIRE REAL ESTATE OR SECURED BY FIRST-LIEN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CONSUMER CREDIT TRANSACTIONS MADE TO ACQUIRE REAL ESTATE OR SECURED BY FIRST-LIEN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9. CONSUMER CREDIT TRANSACTIONS MADE TO ACQUIRE REAL ESTATE OR SECURED BY FIRST-LIEN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