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§13-116. Prohibited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§13-116. Prohibited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§13-116. PROHIBITED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