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§16-109. Requirements for collecting on private education loan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§16-109. Requirements for collecting on private education loan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§16-109. REQUIREMENTS FOR COLLECTING ON PRIVATE EDUCATION LOAN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