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No discharge from employment for garnishment</w:t>
      </w:r>
    </w:p>
    <w:p>
      <w:pPr>
        <w:jc w:val="both"/>
        <w:spacing w:before="100" w:after="100"/>
        <w:ind w:start="360"/>
        <w:ind w:firstLine="360"/>
      </w:pPr>
      <w:r>
        <w:rPr/>
      </w:r>
      <w:r>
        <w:rPr/>
      </w:r>
      <w:r>
        <w:t xml:space="preserve">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§5-106. No discharge from employment for garnishment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No discharge from employment for garnishment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§5-106. NO DISCHARGE FROM EMPLOYMENT FOR GARNISHMENT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