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Applicability</w:t>
      </w:r>
    </w:p>
    <w:p>
      <w:pPr>
        <w:jc w:val="both"/>
        <w:spacing w:before="100" w:after="100"/>
        <w:ind w:start="360"/>
        <w:ind w:firstLine="360"/>
      </w:pPr>
      <w:r>
        <w:rPr/>
      </w:r>
      <w:r>
        <w:rPr/>
      </w:r>
      <w:r>
        <w:t xml:space="preserve">This Part applies to persons who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Make or solicit consumer credit transactions;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Directly collect payments from or enforce rights against consumers arising from consumer credit transactions, wherever they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