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6-201</w:t>
        <w:t xml:space="preserve">.  </w:t>
      </w:r>
      <w:r>
        <w:rPr>
          <w:b/>
        </w:rPr>
        <w:t xml:space="preserve">Applicability</w:t>
      </w:r>
    </w:p>
    <w:p>
      <w:pPr>
        <w:jc w:val="both"/>
        <w:spacing w:before="100" w:after="100"/>
        <w:ind w:start="360"/>
        <w:ind w:firstLine="360"/>
      </w:pPr>
      <w:r>
        <w:rPr/>
      </w:r>
      <w:r>
        <w:rPr/>
      </w:r>
      <w:r>
        <w:t xml:space="preserve">This Part applies to a person engaged in this State in entering into consumer credit transactions and to a person having an office or place of business in this State who takes assignments of or undertakes direct collection of payments from or enforcement of rights against debtors arising from these transactions.  In addition, this Part applies to a person, wherever located, who takes assignments of or undertakes direct collection of payments from or enforcement of rights against debtors arising from a consumer credit transaction subject to this Title.  This Part also applies to a person, other than a supervised financial organization, wherever located, who takes assignments of or undertakes direct collection of payments from or enforcement of rights against debtors arising from a consumer credit transaction subject to </w:t>
      </w:r>
      <w:r>
        <w:t>Article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206,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1979, c. 660, §10 (AMD). PL 1989, c. 70, §2 (AMD). PL 1997, c. 727, §B20 (AMD). PL 2001, c. 371, §5 (AMD). PL 2005, c. 206,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§6-201.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§6-201.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§6-201.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