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§9-305-B. Timely responses to requests for payoff figures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§9-305-B. Timely responses to requests for payoff figures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§9-305-B. TIMELY RESPONSES TO REQUESTS FOR PAYOFF FIGURES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